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8F73" w14:textId="77777777" w:rsidR="002C4AFE" w:rsidRPr="00C82ECB" w:rsidRDefault="002C4AFE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C82ECB">
        <w:rPr>
          <w:rFonts w:ascii="Arial" w:hAnsi="Arial" w:cs="Arial"/>
          <w:szCs w:val="24"/>
          <w:lang w:val="en-GB"/>
        </w:rPr>
        <w:t xml:space="preserve">The Ethical Supplier Mandate (Mandate) and the Ethical Supplier Threshold (Threshold) are an integral part of the Queensland Government’s </w:t>
      </w:r>
      <w:r w:rsidRPr="00C82ECB">
        <w:rPr>
          <w:rFonts w:ascii="Arial" w:hAnsi="Arial" w:cs="Arial"/>
          <w:i/>
          <w:iCs/>
          <w:szCs w:val="24"/>
          <w:lang w:val="en-GB"/>
        </w:rPr>
        <w:t>Buy Queensland</w:t>
      </w:r>
      <w:r w:rsidRPr="00C82ECB">
        <w:rPr>
          <w:rFonts w:ascii="Arial" w:hAnsi="Arial" w:cs="Arial"/>
          <w:szCs w:val="24"/>
          <w:lang w:val="en-GB"/>
        </w:rPr>
        <w:t xml:space="preserve"> approach.</w:t>
      </w:r>
      <w:r w:rsidR="00C01AE5" w:rsidRPr="00C82ECB">
        <w:rPr>
          <w:rFonts w:ascii="Arial" w:hAnsi="Arial" w:cs="Arial"/>
          <w:szCs w:val="24"/>
          <w:lang w:val="en-GB"/>
        </w:rPr>
        <w:t xml:space="preserve"> The Mandate and Threshold support the overarching Queensland Procurement Policy and keeping Queenslanders in quality, secure and safe local jobs.</w:t>
      </w:r>
    </w:p>
    <w:p w14:paraId="4F5523AA" w14:textId="19E06C43" w:rsidR="00C01AE5" w:rsidRPr="00C82ECB" w:rsidRDefault="00C01AE5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C82ECB">
        <w:rPr>
          <w:rFonts w:ascii="Arial" w:hAnsi="Arial" w:cs="Arial"/>
          <w:szCs w:val="24"/>
          <w:lang w:val="en-GB"/>
        </w:rPr>
        <w:t xml:space="preserve">The Queensland </w:t>
      </w:r>
      <w:r w:rsidR="007B2390" w:rsidRPr="00C82ECB">
        <w:rPr>
          <w:rFonts w:ascii="Arial" w:hAnsi="Arial" w:cs="Arial"/>
          <w:szCs w:val="24"/>
          <w:lang w:val="en-GB"/>
        </w:rPr>
        <w:t xml:space="preserve">Government has a category management approach to procurement. There are </w:t>
      </w:r>
      <w:r w:rsidR="00EC2459" w:rsidRPr="00C82ECB">
        <w:rPr>
          <w:rFonts w:ascii="Arial" w:hAnsi="Arial" w:cs="Arial"/>
          <w:szCs w:val="24"/>
          <w:lang w:val="en-GB"/>
        </w:rPr>
        <w:t xml:space="preserve">currently </w:t>
      </w:r>
      <w:r w:rsidR="007B2390" w:rsidRPr="00C82ECB">
        <w:rPr>
          <w:rFonts w:ascii="Arial" w:hAnsi="Arial" w:cs="Arial"/>
          <w:szCs w:val="24"/>
          <w:lang w:val="en-GB"/>
        </w:rPr>
        <w:t>six category groups, namely: Building Construction and Maintenance, Transport Infrastructure Services, Social Services, Information and Communication Technology (ICT), General Goods and Services and Medical Goods and Services.</w:t>
      </w:r>
      <w:r w:rsidR="00EC2459" w:rsidRPr="00C82ECB">
        <w:rPr>
          <w:rFonts w:ascii="Arial" w:hAnsi="Arial" w:cs="Arial"/>
          <w:szCs w:val="24"/>
          <w:lang w:val="en-GB"/>
        </w:rPr>
        <w:t xml:space="preserve"> </w:t>
      </w:r>
      <w:r w:rsidR="00597DEC" w:rsidRPr="00C82ECB">
        <w:rPr>
          <w:rFonts w:ascii="Arial" w:hAnsi="Arial" w:cs="Arial"/>
          <w:szCs w:val="24"/>
          <w:lang w:val="en-GB"/>
        </w:rPr>
        <w:t>More categories can be established as required.</w:t>
      </w:r>
    </w:p>
    <w:p w14:paraId="10461863" w14:textId="77777777" w:rsidR="00C01AE5" w:rsidRPr="00C82ECB" w:rsidRDefault="00C01AE5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C82ECB">
        <w:rPr>
          <w:rFonts w:ascii="Arial" w:hAnsi="Arial" w:cs="Arial"/>
          <w:szCs w:val="24"/>
          <w:lang w:val="en-GB"/>
        </w:rPr>
        <w:t>The Mandate was initially implemented in the procurement categories of Building Construction and Maintenance and Transport Infrastructure Services.</w:t>
      </w:r>
    </w:p>
    <w:p w14:paraId="6C224975" w14:textId="77777777" w:rsidR="00C01AE5" w:rsidRPr="00C82ECB" w:rsidRDefault="00C01AE5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C82ECB">
        <w:rPr>
          <w:rFonts w:ascii="Arial" w:hAnsi="Arial" w:cs="Arial"/>
          <w:szCs w:val="24"/>
          <w:lang w:val="en-GB"/>
        </w:rPr>
        <w:t>An investigation into the expansion of the Mandate into the remaining four procurement categories has been undertaken</w:t>
      </w:r>
      <w:r w:rsidR="007B2390" w:rsidRPr="00C82ECB">
        <w:rPr>
          <w:rFonts w:ascii="Arial" w:hAnsi="Arial" w:cs="Arial"/>
          <w:szCs w:val="24"/>
          <w:lang w:val="en-GB"/>
        </w:rPr>
        <w:t xml:space="preserve"> and recommendations made to government. </w:t>
      </w:r>
    </w:p>
    <w:p w14:paraId="7A68EFE2" w14:textId="77777777" w:rsidR="008B0598" w:rsidRPr="00C82ECB" w:rsidRDefault="008B0598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C82ECB">
        <w:rPr>
          <w:rFonts w:ascii="Arial" w:hAnsi="Arial" w:cs="Arial"/>
          <w:spacing w:val="-3"/>
        </w:rPr>
        <w:t>Th</w:t>
      </w:r>
      <w:r w:rsidR="00C01AE5" w:rsidRPr="00C82ECB">
        <w:rPr>
          <w:rFonts w:ascii="Arial" w:hAnsi="Arial" w:cs="Arial"/>
          <w:spacing w:val="-3"/>
        </w:rPr>
        <w:t>e</w:t>
      </w:r>
      <w:r w:rsidR="009B5920" w:rsidRPr="00C82ECB">
        <w:rPr>
          <w:rFonts w:ascii="Arial" w:hAnsi="Arial" w:cs="Arial"/>
          <w:spacing w:val="-3"/>
        </w:rPr>
        <w:t xml:space="preserve"> application of the Mandate </w:t>
      </w:r>
      <w:r w:rsidR="00C01AE5" w:rsidRPr="00C82ECB">
        <w:rPr>
          <w:rFonts w:ascii="Arial" w:hAnsi="Arial" w:cs="Arial"/>
          <w:spacing w:val="-3"/>
        </w:rPr>
        <w:t xml:space="preserve">across all procurement categories </w:t>
      </w:r>
      <w:r w:rsidR="009B5920" w:rsidRPr="00C82ECB">
        <w:rPr>
          <w:rFonts w:ascii="Arial" w:hAnsi="Arial" w:cs="Arial"/>
          <w:spacing w:val="-3"/>
        </w:rPr>
        <w:t>means that the benefits of the Mandate are applied equally across all Queensland Government procurement</w:t>
      </w:r>
      <w:r w:rsidR="0012319A" w:rsidRPr="00C82ECB">
        <w:rPr>
          <w:rFonts w:ascii="Arial" w:hAnsi="Arial" w:cs="Arial"/>
          <w:spacing w:val="-3"/>
        </w:rPr>
        <w:t xml:space="preserve">, ensuring that government only does business with ethical suppliers and practical measures enforceable under contract exist to penalise unethical operators. </w:t>
      </w:r>
    </w:p>
    <w:p w14:paraId="26C79DF9" w14:textId="74D9E503" w:rsidR="0012319A" w:rsidRPr="00C82ECB" w:rsidRDefault="00D6795B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C82ECB">
        <w:rPr>
          <w:rFonts w:ascii="Arial" w:hAnsi="Arial" w:cs="Arial"/>
          <w:spacing w:val="-3"/>
          <w:u w:val="single"/>
        </w:rPr>
        <w:t>Cabinet</w:t>
      </w:r>
      <w:r w:rsidR="004C0DA4" w:rsidRPr="00C82ECB">
        <w:rPr>
          <w:rFonts w:ascii="Arial" w:hAnsi="Arial" w:cs="Arial"/>
          <w:spacing w:val="-3"/>
          <w:u w:val="single"/>
        </w:rPr>
        <w:t xml:space="preserve"> </w:t>
      </w:r>
      <w:r w:rsidR="0070124E" w:rsidRPr="00C82ECB">
        <w:rPr>
          <w:rFonts w:ascii="Arial" w:hAnsi="Arial" w:cs="Arial"/>
          <w:spacing w:val="-3"/>
          <w:u w:val="single"/>
        </w:rPr>
        <w:t>approved</w:t>
      </w:r>
      <w:r w:rsidR="0070124E" w:rsidRPr="00C82ECB">
        <w:rPr>
          <w:rFonts w:ascii="Arial" w:hAnsi="Arial" w:cs="Arial"/>
          <w:spacing w:val="-3"/>
        </w:rPr>
        <w:t xml:space="preserve"> </w:t>
      </w:r>
      <w:r w:rsidR="0012319A" w:rsidRPr="00C82ECB">
        <w:rPr>
          <w:rFonts w:ascii="Arial" w:hAnsi="Arial" w:cs="Arial"/>
          <w:spacing w:val="-3"/>
        </w:rPr>
        <w:t xml:space="preserve">the expansion of </w:t>
      </w:r>
      <w:r w:rsidR="00106AF1" w:rsidRPr="00C82ECB">
        <w:rPr>
          <w:rFonts w:ascii="Arial" w:hAnsi="Arial" w:cs="Arial"/>
          <w:spacing w:val="-3"/>
        </w:rPr>
        <w:t xml:space="preserve">a fit-for-purpose application of </w:t>
      </w:r>
      <w:r w:rsidR="0012319A" w:rsidRPr="00C82ECB">
        <w:rPr>
          <w:rFonts w:ascii="Arial" w:hAnsi="Arial" w:cs="Arial"/>
          <w:spacing w:val="-3"/>
        </w:rPr>
        <w:t xml:space="preserve">the Ethical Supplier Mandate to the four remaining </w:t>
      </w:r>
      <w:r w:rsidR="00106AF1" w:rsidRPr="00C82ECB">
        <w:rPr>
          <w:rFonts w:ascii="Arial" w:hAnsi="Arial" w:cs="Arial"/>
          <w:spacing w:val="-3"/>
        </w:rPr>
        <w:t xml:space="preserve">procurement </w:t>
      </w:r>
      <w:r w:rsidR="0012319A" w:rsidRPr="00C82ECB">
        <w:rPr>
          <w:rFonts w:ascii="Arial" w:hAnsi="Arial" w:cs="Arial"/>
          <w:spacing w:val="-3"/>
        </w:rPr>
        <w:t>categories of Social Services, Information and Communication Technology</w:t>
      </w:r>
      <w:r w:rsidR="00106AF1" w:rsidRPr="00C82ECB">
        <w:rPr>
          <w:rFonts w:ascii="Arial" w:hAnsi="Arial" w:cs="Arial"/>
          <w:spacing w:val="-3"/>
        </w:rPr>
        <w:t xml:space="preserve"> (ICT)</w:t>
      </w:r>
      <w:r w:rsidR="0012319A" w:rsidRPr="00C82ECB">
        <w:rPr>
          <w:rFonts w:ascii="Arial" w:hAnsi="Arial" w:cs="Arial"/>
          <w:spacing w:val="-3"/>
        </w:rPr>
        <w:t>, General Goods and Services and Medical Goods and Services</w:t>
      </w:r>
      <w:r w:rsidR="00EC2459" w:rsidRPr="00C82ECB">
        <w:rPr>
          <w:rFonts w:ascii="Arial" w:hAnsi="Arial" w:cs="Arial"/>
          <w:spacing w:val="-3"/>
        </w:rPr>
        <w:t>, as well as any future procurement categories established</w:t>
      </w:r>
      <w:r w:rsidR="0070124E" w:rsidRPr="00C82ECB">
        <w:rPr>
          <w:rFonts w:ascii="Arial" w:hAnsi="Arial" w:cs="Arial"/>
          <w:spacing w:val="-3"/>
        </w:rPr>
        <w:t xml:space="preserve"> from 1 </w:t>
      </w:r>
      <w:r w:rsidR="00EC2459" w:rsidRPr="00C82ECB">
        <w:rPr>
          <w:rFonts w:ascii="Arial" w:hAnsi="Arial" w:cs="Arial"/>
          <w:spacing w:val="-3"/>
        </w:rPr>
        <w:t>February</w:t>
      </w:r>
      <w:r w:rsidR="0070124E" w:rsidRPr="00C82ECB">
        <w:rPr>
          <w:rFonts w:ascii="Arial" w:hAnsi="Arial" w:cs="Arial"/>
          <w:spacing w:val="-3"/>
        </w:rPr>
        <w:t xml:space="preserve"> 202</w:t>
      </w:r>
      <w:r w:rsidR="00EC2459" w:rsidRPr="00C82ECB">
        <w:rPr>
          <w:rFonts w:ascii="Arial" w:hAnsi="Arial" w:cs="Arial"/>
          <w:spacing w:val="-3"/>
        </w:rPr>
        <w:t>4</w:t>
      </w:r>
      <w:r w:rsidR="0070124E" w:rsidRPr="00C82ECB">
        <w:rPr>
          <w:rFonts w:ascii="Arial" w:hAnsi="Arial" w:cs="Arial"/>
          <w:spacing w:val="-3"/>
        </w:rPr>
        <w:t>.</w:t>
      </w:r>
    </w:p>
    <w:p w14:paraId="62C38132" w14:textId="78EF3880" w:rsidR="006F1FC2" w:rsidRPr="00C82ECB" w:rsidRDefault="00D6795B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C82ECB">
        <w:rPr>
          <w:rFonts w:ascii="Arial" w:hAnsi="Arial" w:cs="Arial"/>
          <w:spacing w:val="-3"/>
          <w:u w:val="single"/>
        </w:rPr>
        <w:t>Cabinet</w:t>
      </w:r>
      <w:r w:rsidR="00782478" w:rsidRPr="00C82ECB">
        <w:rPr>
          <w:rFonts w:ascii="Arial" w:hAnsi="Arial" w:cs="Arial"/>
          <w:spacing w:val="-3"/>
          <w:u w:val="single"/>
        </w:rPr>
        <w:t xml:space="preserve"> </w:t>
      </w:r>
      <w:r w:rsidR="002C7621" w:rsidRPr="00C82ECB">
        <w:rPr>
          <w:rFonts w:ascii="Arial" w:hAnsi="Arial" w:cs="Arial"/>
          <w:spacing w:val="-3"/>
          <w:u w:val="single"/>
        </w:rPr>
        <w:t>approved</w:t>
      </w:r>
      <w:r w:rsidR="002C7621" w:rsidRPr="00C82ECB">
        <w:rPr>
          <w:rFonts w:ascii="Arial" w:hAnsi="Arial" w:cs="Arial"/>
          <w:spacing w:val="-3"/>
        </w:rPr>
        <w:t xml:space="preserve"> </w:t>
      </w:r>
      <w:r w:rsidR="00A5759A" w:rsidRPr="00C82ECB">
        <w:rPr>
          <w:rFonts w:ascii="Arial" w:hAnsi="Arial" w:cs="Arial"/>
          <w:spacing w:val="-3"/>
        </w:rPr>
        <w:t xml:space="preserve">the proposed application of </w:t>
      </w:r>
      <w:r w:rsidR="0070124E" w:rsidRPr="00C82ECB">
        <w:rPr>
          <w:rFonts w:ascii="Arial" w:hAnsi="Arial" w:cs="Arial"/>
          <w:spacing w:val="-3"/>
        </w:rPr>
        <w:t xml:space="preserve">Best Practice Principles </w:t>
      </w:r>
      <w:r w:rsidR="00A5759A" w:rsidRPr="00C82ECB">
        <w:rPr>
          <w:rFonts w:ascii="Arial" w:hAnsi="Arial" w:cs="Arial"/>
          <w:spacing w:val="-3"/>
        </w:rPr>
        <w:t>to the remaining procurement categories</w:t>
      </w:r>
      <w:r w:rsidR="00AE59A0" w:rsidRPr="00C82ECB">
        <w:rPr>
          <w:rFonts w:ascii="Arial" w:hAnsi="Arial" w:cs="Arial"/>
          <w:spacing w:val="-3"/>
        </w:rPr>
        <w:t xml:space="preserve"> </w:t>
      </w:r>
      <w:r w:rsidR="0070124E" w:rsidRPr="00C82ECB">
        <w:rPr>
          <w:rFonts w:ascii="Arial" w:hAnsi="Arial" w:cs="Arial"/>
          <w:spacing w:val="-3"/>
        </w:rPr>
        <w:t>(Social Services, General Goods and Services and Medical Goods and Services)</w:t>
      </w:r>
      <w:r w:rsidR="00EC2459" w:rsidRPr="00C82ECB">
        <w:rPr>
          <w:rFonts w:ascii="Arial" w:hAnsi="Arial" w:cs="Arial"/>
          <w:spacing w:val="-3"/>
        </w:rPr>
        <w:t>, any future procurement categories established,</w:t>
      </w:r>
      <w:r w:rsidR="0070124E" w:rsidRPr="00C82ECB">
        <w:rPr>
          <w:rFonts w:ascii="Arial" w:hAnsi="Arial" w:cs="Arial"/>
          <w:spacing w:val="-3"/>
        </w:rPr>
        <w:t xml:space="preserve"> and the continuation of the current exemption for the ICT category. </w:t>
      </w:r>
    </w:p>
    <w:p w14:paraId="014037B4" w14:textId="49A52B8B" w:rsidR="00164A16" w:rsidRPr="00C82ECB" w:rsidRDefault="00164A16" w:rsidP="008F402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360" w:after="0" w:line="240" w:lineRule="auto"/>
        <w:ind w:left="482" w:hanging="482"/>
        <w:jc w:val="both"/>
        <w:textAlignment w:val="baseline"/>
        <w:rPr>
          <w:rFonts w:ascii="Arial" w:hAnsi="Arial" w:cs="Arial"/>
          <w:spacing w:val="-3"/>
        </w:rPr>
      </w:pPr>
      <w:r w:rsidRPr="00C82ECB">
        <w:rPr>
          <w:rFonts w:ascii="Arial" w:hAnsi="Arial" w:cs="Arial"/>
          <w:i/>
          <w:iCs/>
          <w:spacing w:val="-3"/>
          <w:u w:val="single"/>
        </w:rPr>
        <w:t>Attachments</w:t>
      </w:r>
      <w:r w:rsidR="00106AF1" w:rsidRPr="00C82ECB">
        <w:rPr>
          <w:rFonts w:ascii="Arial" w:hAnsi="Arial" w:cs="Arial"/>
          <w:spacing w:val="-3"/>
        </w:rPr>
        <w:t>:</w:t>
      </w:r>
    </w:p>
    <w:p w14:paraId="17A5B462" w14:textId="4B2E48A1" w:rsidR="004C0DA4" w:rsidRPr="00C82ECB" w:rsidRDefault="0070124E" w:rsidP="00606D68">
      <w:pPr>
        <w:numPr>
          <w:ilvl w:val="0"/>
          <w:numId w:val="15"/>
        </w:numPr>
        <w:spacing w:before="120" w:after="0"/>
        <w:ind w:left="850"/>
        <w:rPr>
          <w:rFonts w:ascii="Arial" w:hAnsi="Arial" w:cs="Arial"/>
        </w:rPr>
      </w:pPr>
      <w:r w:rsidRPr="00C82ECB">
        <w:rPr>
          <w:rFonts w:ascii="Arial" w:hAnsi="Arial" w:cs="Arial"/>
          <w:szCs w:val="24"/>
          <w:lang w:val="en-GB"/>
        </w:rPr>
        <w:t>Nil</w:t>
      </w:r>
      <w:r w:rsidR="00106AF1" w:rsidRPr="00C82ECB">
        <w:rPr>
          <w:rFonts w:ascii="Arial" w:hAnsi="Arial" w:cs="Arial"/>
          <w:szCs w:val="24"/>
          <w:lang w:val="en-GB"/>
        </w:rPr>
        <w:t>.</w:t>
      </w:r>
    </w:p>
    <w:sectPr w:rsidR="004C0DA4" w:rsidRPr="00C82ECB" w:rsidSect="008F402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D7A2" w14:textId="77777777" w:rsidR="00E92ED4" w:rsidRDefault="00E92ED4" w:rsidP="0050513E">
      <w:pPr>
        <w:spacing w:after="0" w:line="240" w:lineRule="auto"/>
      </w:pPr>
      <w:r>
        <w:separator/>
      </w:r>
    </w:p>
  </w:endnote>
  <w:endnote w:type="continuationSeparator" w:id="0">
    <w:p w14:paraId="5C312951" w14:textId="77777777" w:rsidR="00E92ED4" w:rsidRDefault="00E92ED4" w:rsidP="005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B4BC" w14:textId="77777777" w:rsidR="00E92ED4" w:rsidRDefault="00E92ED4" w:rsidP="0050513E">
      <w:pPr>
        <w:spacing w:after="0" w:line="240" w:lineRule="auto"/>
      </w:pPr>
      <w:r>
        <w:separator/>
      </w:r>
    </w:p>
  </w:footnote>
  <w:footnote w:type="continuationSeparator" w:id="0">
    <w:p w14:paraId="31C25A59" w14:textId="77777777" w:rsidR="00E92ED4" w:rsidRDefault="00E92ED4" w:rsidP="005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2377" w14:textId="77777777" w:rsidR="0050513E" w:rsidRPr="00937A4A" w:rsidRDefault="0050513E" w:rsidP="0050513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7C637409" w14:textId="794086BD" w:rsidR="0050513E" w:rsidRPr="00937A4A" w:rsidRDefault="0050513E" w:rsidP="0050513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September 2023</w:t>
    </w:r>
  </w:p>
  <w:p w14:paraId="0E6770BD" w14:textId="4E9C7171" w:rsidR="0050513E" w:rsidRDefault="0050513E" w:rsidP="0050513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B5920">
      <w:rPr>
        <w:rFonts w:ascii="Arial" w:hAnsi="Arial" w:cs="Arial"/>
        <w:b/>
        <w:sz w:val="22"/>
        <w:szCs w:val="22"/>
        <w:u w:val="single"/>
      </w:rPr>
      <w:t>Expansion of the Ethical Supplier Mandate to the four remaining procurement categories of Social Services, Information Communication Technology, General Goods and Services and Medical Goods and Services</w:t>
    </w:r>
  </w:p>
  <w:p w14:paraId="315CB2B1" w14:textId="2F4ADC5C" w:rsidR="0050513E" w:rsidRDefault="0050513E" w:rsidP="0050513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F1FC2"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  <w:p w14:paraId="4C3FF456" w14:textId="77777777" w:rsidR="0050513E" w:rsidRDefault="0050513E" w:rsidP="0050513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B59A4B8C"/>
    <w:lvl w:ilvl="0">
      <w:start w:val="1"/>
      <w:numFmt w:val="decimal"/>
      <w:lvlText w:val="%1."/>
      <w:lvlJc w:val="left"/>
      <w:pPr>
        <w:ind w:left="813" w:hanging="48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782" w:hanging="480"/>
      </w:pPr>
    </w:lvl>
    <w:lvl w:ilvl="2">
      <w:numFmt w:val="bullet"/>
      <w:lvlText w:val="•"/>
      <w:lvlJc w:val="left"/>
      <w:pPr>
        <w:ind w:left="2745" w:hanging="480"/>
      </w:pPr>
    </w:lvl>
    <w:lvl w:ilvl="3">
      <w:numFmt w:val="bullet"/>
      <w:lvlText w:val="•"/>
      <w:lvlJc w:val="left"/>
      <w:pPr>
        <w:ind w:left="3707" w:hanging="480"/>
      </w:pPr>
    </w:lvl>
    <w:lvl w:ilvl="4">
      <w:numFmt w:val="bullet"/>
      <w:lvlText w:val="•"/>
      <w:lvlJc w:val="left"/>
      <w:pPr>
        <w:ind w:left="4670" w:hanging="480"/>
      </w:pPr>
    </w:lvl>
    <w:lvl w:ilvl="5">
      <w:numFmt w:val="bullet"/>
      <w:lvlText w:val="•"/>
      <w:lvlJc w:val="left"/>
      <w:pPr>
        <w:ind w:left="5633" w:hanging="480"/>
      </w:pPr>
    </w:lvl>
    <w:lvl w:ilvl="6">
      <w:numFmt w:val="bullet"/>
      <w:lvlText w:val="•"/>
      <w:lvlJc w:val="left"/>
      <w:pPr>
        <w:ind w:left="6595" w:hanging="480"/>
      </w:pPr>
    </w:lvl>
    <w:lvl w:ilvl="7">
      <w:numFmt w:val="bullet"/>
      <w:lvlText w:val="•"/>
      <w:lvlJc w:val="left"/>
      <w:pPr>
        <w:ind w:left="7558" w:hanging="480"/>
      </w:pPr>
    </w:lvl>
    <w:lvl w:ilvl="8">
      <w:numFmt w:val="bullet"/>
      <w:lvlText w:val="•"/>
      <w:lvlJc w:val="left"/>
      <w:pPr>
        <w:ind w:left="8521" w:hanging="480"/>
      </w:pPr>
    </w:lvl>
  </w:abstractNum>
  <w:abstractNum w:abstractNumId="1" w15:restartNumberingAfterBreak="0">
    <w:nsid w:val="079C0DF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36B86"/>
    <w:multiLevelType w:val="hybridMultilevel"/>
    <w:tmpl w:val="2690B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4536942E"/>
    <w:lvl w:ilvl="0" w:tplc="7CD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8954AB"/>
    <w:multiLevelType w:val="hybridMultilevel"/>
    <w:tmpl w:val="C1F0BB46"/>
    <w:lvl w:ilvl="0" w:tplc="0C090019">
      <w:start w:val="1"/>
      <w:numFmt w:val="lowerLetter"/>
      <w:lvlText w:val="%1."/>
      <w:lvlJc w:val="left"/>
      <w:pPr>
        <w:tabs>
          <w:tab w:val="num" w:pos="719"/>
        </w:tabs>
        <w:ind w:left="719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5" w15:restartNumberingAfterBreak="0">
    <w:nsid w:val="6BDF1223"/>
    <w:multiLevelType w:val="hybridMultilevel"/>
    <w:tmpl w:val="C7A0FE4C"/>
    <w:lvl w:ilvl="0" w:tplc="5936E466">
      <w:start w:val="1"/>
      <w:numFmt w:val="decimal"/>
      <w:lvlText w:val="%1."/>
      <w:lvlJc w:val="left"/>
      <w:pPr>
        <w:ind w:left="685" w:hanging="360"/>
      </w:pPr>
      <w:rPr>
        <w:i w:val="0"/>
        <w:spacing w:val="-1"/>
        <w:w w:val="100"/>
        <w:lang w:val="en-AU" w:eastAsia="en-AU" w:bidi="en-AU"/>
      </w:rPr>
    </w:lvl>
    <w:lvl w:ilvl="1" w:tplc="6EAE6BA4">
      <w:numFmt w:val="bullet"/>
      <w:lvlText w:val="•"/>
      <w:lvlJc w:val="left"/>
      <w:pPr>
        <w:ind w:left="1574" w:hanging="360"/>
      </w:pPr>
      <w:rPr>
        <w:lang w:val="en-AU" w:eastAsia="en-AU" w:bidi="en-AU"/>
      </w:rPr>
    </w:lvl>
    <w:lvl w:ilvl="2" w:tplc="D97AA73E">
      <w:numFmt w:val="bullet"/>
      <w:lvlText w:val="•"/>
      <w:lvlJc w:val="left"/>
      <w:pPr>
        <w:ind w:left="2469" w:hanging="360"/>
      </w:pPr>
      <w:rPr>
        <w:lang w:val="en-AU" w:eastAsia="en-AU" w:bidi="en-AU"/>
      </w:rPr>
    </w:lvl>
    <w:lvl w:ilvl="3" w:tplc="84A65994">
      <w:numFmt w:val="bullet"/>
      <w:lvlText w:val="•"/>
      <w:lvlJc w:val="left"/>
      <w:pPr>
        <w:ind w:left="3363" w:hanging="360"/>
      </w:pPr>
      <w:rPr>
        <w:lang w:val="en-AU" w:eastAsia="en-AU" w:bidi="en-AU"/>
      </w:rPr>
    </w:lvl>
    <w:lvl w:ilvl="4" w:tplc="E80E05A4">
      <w:numFmt w:val="bullet"/>
      <w:lvlText w:val="•"/>
      <w:lvlJc w:val="left"/>
      <w:pPr>
        <w:ind w:left="4258" w:hanging="360"/>
      </w:pPr>
      <w:rPr>
        <w:lang w:val="en-AU" w:eastAsia="en-AU" w:bidi="en-AU"/>
      </w:rPr>
    </w:lvl>
    <w:lvl w:ilvl="5" w:tplc="B6CAD1C4">
      <w:numFmt w:val="bullet"/>
      <w:lvlText w:val="•"/>
      <w:lvlJc w:val="left"/>
      <w:pPr>
        <w:ind w:left="5153" w:hanging="360"/>
      </w:pPr>
      <w:rPr>
        <w:lang w:val="en-AU" w:eastAsia="en-AU" w:bidi="en-AU"/>
      </w:rPr>
    </w:lvl>
    <w:lvl w:ilvl="6" w:tplc="DF8ED9A6">
      <w:numFmt w:val="bullet"/>
      <w:lvlText w:val="•"/>
      <w:lvlJc w:val="left"/>
      <w:pPr>
        <w:ind w:left="6047" w:hanging="360"/>
      </w:pPr>
      <w:rPr>
        <w:lang w:val="en-AU" w:eastAsia="en-AU" w:bidi="en-AU"/>
      </w:rPr>
    </w:lvl>
    <w:lvl w:ilvl="7" w:tplc="5EFA014E">
      <w:numFmt w:val="bullet"/>
      <w:lvlText w:val="•"/>
      <w:lvlJc w:val="left"/>
      <w:pPr>
        <w:ind w:left="6942" w:hanging="360"/>
      </w:pPr>
      <w:rPr>
        <w:lang w:val="en-AU" w:eastAsia="en-AU" w:bidi="en-AU"/>
      </w:rPr>
    </w:lvl>
    <w:lvl w:ilvl="8" w:tplc="8A160702">
      <w:numFmt w:val="bullet"/>
      <w:lvlText w:val="•"/>
      <w:lvlJc w:val="left"/>
      <w:pPr>
        <w:ind w:left="7837" w:hanging="360"/>
      </w:pPr>
      <w:rPr>
        <w:lang w:val="en-AU" w:eastAsia="en-AU" w:bidi="en-AU"/>
      </w:rPr>
    </w:lvl>
  </w:abstractNum>
  <w:abstractNum w:abstractNumId="6" w15:restartNumberingAfterBreak="0">
    <w:nsid w:val="6CC040EB"/>
    <w:multiLevelType w:val="hybridMultilevel"/>
    <w:tmpl w:val="7B8ADEC8"/>
    <w:lvl w:ilvl="0" w:tplc="02E20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372A"/>
    <w:multiLevelType w:val="hybridMultilevel"/>
    <w:tmpl w:val="750A7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E4382"/>
    <w:multiLevelType w:val="hybridMultilevel"/>
    <w:tmpl w:val="96E686B4"/>
    <w:lvl w:ilvl="0" w:tplc="3B2ED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36E48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iCs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9C82DAC"/>
    <w:multiLevelType w:val="hybridMultilevel"/>
    <w:tmpl w:val="D18C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C55C0A90"/>
    <w:lvl w:ilvl="0" w:tplc="91BEBC08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i w:val="0"/>
        <w:i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 w16cid:durableId="1027481850">
    <w:abstractNumId w:val="11"/>
  </w:num>
  <w:num w:numId="2" w16cid:durableId="1104612397">
    <w:abstractNumId w:val="9"/>
  </w:num>
  <w:num w:numId="3" w16cid:durableId="965619479">
    <w:abstractNumId w:val="3"/>
  </w:num>
  <w:num w:numId="4" w16cid:durableId="848518283">
    <w:abstractNumId w:val="6"/>
  </w:num>
  <w:num w:numId="5" w16cid:durableId="295575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26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3866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979120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7573611">
    <w:abstractNumId w:val="9"/>
  </w:num>
  <w:num w:numId="10" w16cid:durableId="2635141">
    <w:abstractNumId w:val="1"/>
  </w:num>
  <w:num w:numId="11" w16cid:durableId="1688631808">
    <w:abstractNumId w:val="4"/>
  </w:num>
  <w:num w:numId="12" w16cid:durableId="891228617">
    <w:abstractNumId w:val="7"/>
  </w:num>
  <w:num w:numId="13" w16cid:durableId="2136634421">
    <w:abstractNumId w:val="2"/>
  </w:num>
  <w:num w:numId="14" w16cid:durableId="1689287107">
    <w:abstractNumId w:val="8"/>
  </w:num>
  <w:num w:numId="15" w16cid:durableId="1768110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A4"/>
    <w:rsid w:val="000065C3"/>
    <w:rsid w:val="00025E0A"/>
    <w:rsid w:val="00026B3E"/>
    <w:rsid w:val="0003647D"/>
    <w:rsid w:val="00057AE0"/>
    <w:rsid w:val="00061BF7"/>
    <w:rsid w:val="000821B2"/>
    <w:rsid w:val="00092437"/>
    <w:rsid w:val="000D7C44"/>
    <w:rsid w:val="00106AF1"/>
    <w:rsid w:val="0012319A"/>
    <w:rsid w:val="0013782D"/>
    <w:rsid w:val="00140570"/>
    <w:rsid w:val="0014098A"/>
    <w:rsid w:val="00144CEC"/>
    <w:rsid w:val="00164A16"/>
    <w:rsid w:val="0017553F"/>
    <w:rsid w:val="00186C5E"/>
    <w:rsid w:val="001A67DF"/>
    <w:rsid w:val="001A68CC"/>
    <w:rsid w:val="001F6190"/>
    <w:rsid w:val="00252F1B"/>
    <w:rsid w:val="00265281"/>
    <w:rsid w:val="00285C8D"/>
    <w:rsid w:val="00295EC5"/>
    <w:rsid w:val="002A4D2B"/>
    <w:rsid w:val="002B0D2A"/>
    <w:rsid w:val="002C4AFE"/>
    <w:rsid w:val="002C7621"/>
    <w:rsid w:val="0030665A"/>
    <w:rsid w:val="00321988"/>
    <w:rsid w:val="00351409"/>
    <w:rsid w:val="00371112"/>
    <w:rsid w:val="00380D78"/>
    <w:rsid w:val="003C6185"/>
    <w:rsid w:val="003D4A00"/>
    <w:rsid w:val="003F0531"/>
    <w:rsid w:val="00412A18"/>
    <w:rsid w:val="00420680"/>
    <w:rsid w:val="00464B6F"/>
    <w:rsid w:val="00474D36"/>
    <w:rsid w:val="004C0DA4"/>
    <w:rsid w:val="004C5286"/>
    <w:rsid w:val="0050513E"/>
    <w:rsid w:val="00514DCF"/>
    <w:rsid w:val="005255E2"/>
    <w:rsid w:val="0055623E"/>
    <w:rsid w:val="00597DEC"/>
    <w:rsid w:val="005C51DD"/>
    <w:rsid w:val="005D047A"/>
    <w:rsid w:val="006013B7"/>
    <w:rsid w:val="00606D68"/>
    <w:rsid w:val="00636E78"/>
    <w:rsid w:val="00690A63"/>
    <w:rsid w:val="006A6693"/>
    <w:rsid w:val="006E4308"/>
    <w:rsid w:val="006F1FC2"/>
    <w:rsid w:val="006F2C5B"/>
    <w:rsid w:val="006F6F08"/>
    <w:rsid w:val="0070124E"/>
    <w:rsid w:val="00705810"/>
    <w:rsid w:val="00747A97"/>
    <w:rsid w:val="00763D1F"/>
    <w:rsid w:val="00763FE9"/>
    <w:rsid w:val="00782478"/>
    <w:rsid w:val="00795873"/>
    <w:rsid w:val="007971DD"/>
    <w:rsid w:val="007A254C"/>
    <w:rsid w:val="007A6676"/>
    <w:rsid w:val="007B2390"/>
    <w:rsid w:val="007D354D"/>
    <w:rsid w:val="008331D8"/>
    <w:rsid w:val="00834AAB"/>
    <w:rsid w:val="00851770"/>
    <w:rsid w:val="008B0598"/>
    <w:rsid w:val="008B2A8A"/>
    <w:rsid w:val="008B5FF2"/>
    <w:rsid w:val="008F4025"/>
    <w:rsid w:val="00900858"/>
    <w:rsid w:val="00917E66"/>
    <w:rsid w:val="009376C2"/>
    <w:rsid w:val="00961632"/>
    <w:rsid w:val="00961A14"/>
    <w:rsid w:val="009753BE"/>
    <w:rsid w:val="009A5C74"/>
    <w:rsid w:val="009A762B"/>
    <w:rsid w:val="009B539F"/>
    <w:rsid w:val="009B5920"/>
    <w:rsid w:val="009F4DDE"/>
    <w:rsid w:val="00A12113"/>
    <w:rsid w:val="00A32EB0"/>
    <w:rsid w:val="00A33AAD"/>
    <w:rsid w:val="00A57242"/>
    <w:rsid w:val="00A5759A"/>
    <w:rsid w:val="00A67A4F"/>
    <w:rsid w:val="00A76446"/>
    <w:rsid w:val="00AB387F"/>
    <w:rsid w:val="00AC24E7"/>
    <w:rsid w:val="00AE25DA"/>
    <w:rsid w:val="00AE59A0"/>
    <w:rsid w:val="00B15477"/>
    <w:rsid w:val="00B473D1"/>
    <w:rsid w:val="00B51B60"/>
    <w:rsid w:val="00BC20DD"/>
    <w:rsid w:val="00BE0273"/>
    <w:rsid w:val="00BF2760"/>
    <w:rsid w:val="00C01AE5"/>
    <w:rsid w:val="00C10BC2"/>
    <w:rsid w:val="00C14203"/>
    <w:rsid w:val="00C27AE2"/>
    <w:rsid w:val="00C31D0A"/>
    <w:rsid w:val="00C33975"/>
    <w:rsid w:val="00C432D1"/>
    <w:rsid w:val="00C457BA"/>
    <w:rsid w:val="00C51DF4"/>
    <w:rsid w:val="00C55C31"/>
    <w:rsid w:val="00C82ECB"/>
    <w:rsid w:val="00CF27DD"/>
    <w:rsid w:val="00D51F26"/>
    <w:rsid w:val="00D6795B"/>
    <w:rsid w:val="00D7231D"/>
    <w:rsid w:val="00DA0F0C"/>
    <w:rsid w:val="00DF2D73"/>
    <w:rsid w:val="00E35289"/>
    <w:rsid w:val="00E47ED6"/>
    <w:rsid w:val="00E5265B"/>
    <w:rsid w:val="00E53DA0"/>
    <w:rsid w:val="00E712AD"/>
    <w:rsid w:val="00E856C3"/>
    <w:rsid w:val="00E92ED4"/>
    <w:rsid w:val="00EB1DD4"/>
    <w:rsid w:val="00EC0247"/>
    <w:rsid w:val="00EC2459"/>
    <w:rsid w:val="00EE26FB"/>
    <w:rsid w:val="00EE47C1"/>
    <w:rsid w:val="00F07324"/>
    <w:rsid w:val="00F5157E"/>
    <w:rsid w:val="00FC22C2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5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34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1A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7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7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7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67D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6F1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124E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3E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5983-6994-49F7-BB65-FCF0066451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6B43F8-9B3B-471A-89E0-77DEA2C3C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2734E-AFB6-45A7-AD3F-969683F5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A5BD1-1FAC-41DA-AACE-9C2298E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1734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Base>https://www.cabinet.qld.gov.au/documents/2023/Sep/ESMandate/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2023-07-19T01:05:00Z</cp:lastPrinted>
  <dcterms:created xsi:type="dcterms:W3CDTF">2023-12-08T00:54:00Z</dcterms:created>
  <dcterms:modified xsi:type="dcterms:W3CDTF">2024-09-26T21:51:00Z</dcterms:modified>
  <cp:category>Information_and_Communications_Technology,Medical,Procurement,Social_Services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0x010100DDE14CFDD070B24F85F5DE43654FF01E</vt:lpwstr>
  </property>
</Properties>
</file>